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shd w:val="clear" w:color="auto" w:fill="FFFFFF"/>
        <w:spacing w:lineRule="auto" w:line="240" w:before="0" w:after="0"/>
        <w:jc w:val="center"/>
        <w:rPr>
          <w:rFonts w:ascii="Times New Roman" w:hAnsi="Times New Roman" w:eastAsia="Times New Roman" w:cs="Times New Roman"/>
          <w:color w:val="212121"/>
          <w:sz w:val="24"/>
          <w:szCs w:val="24"/>
          <w:lang w:eastAsia="cs-CZ"/>
        </w:rPr>
      </w:pPr>
      <w:r>
        <w:rPr>
          <w:rFonts w:eastAsia="Times New Roman" w:cs="Times New Roman" w:ascii="Times New Roman" w:hAnsi="Times New Roman"/>
          <w:color w:val="212121"/>
          <w:sz w:val="24"/>
          <w:szCs w:val="24"/>
          <w:lang w:eastAsia="cs-CZ"/>
        </w:rPr>
        <w:t>Základní škola a mateřská škola Ledčice, okres Mělník, příspěvková organizace</w:t>
      </w:r>
    </w:p>
    <w:p>
      <w:pPr>
        <w:pStyle w:val="Normal"/>
        <w:pBdr>
          <w:bottom w:val="single" w:sz="4" w:space="1" w:color="000000"/>
        </w:pBdr>
        <w:shd w:val="clear" w:color="auto" w:fill="FFFFFF"/>
        <w:spacing w:lineRule="auto" w:line="240" w:before="0" w:after="0"/>
        <w:jc w:val="center"/>
        <w:rPr>
          <w:rFonts w:ascii="Times New Roman" w:hAnsi="Times New Roman" w:eastAsia="Times New Roman" w:cs="Times New Roman"/>
          <w:color w:val="212121"/>
          <w:sz w:val="24"/>
          <w:szCs w:val="24"/>
          <w:lang w:eastAsia="cs-CZ"/>
        </w:rPr>
      </w:pPr>
      <w:r>
        <w:rPr>
          <w:rFonts w:eastAsia="Times New Roman" w:cs="Times New Roman" w:ascii="Times New Roman" w:hAnsi="Times New Roman"/>
          <w:color w:val="212121"/>
          <w:sz w:val="24"/>
          <w:szCs w:val="24"/>
          <w:lang w:eastAsia="cs-CZ"/>
        </w:rPr>
        <w:t xml:space="preserve">Ledčice 179, 277 08 Ledčice, IČ: 70996598, </w:t>
      </w:r>
    </w:p>
    <w:p>
      <w:pPr>
        <w:pStyle w:val="Normal"/>
        <w:pBdr>
          <w:bottom w:val="single" w:sz="4" w:space="1" w:color="000000"/>
        </w:pBdr>
        <w:shd w:val="clear" w:color="auto" w:fill="FFFFFF"/>
        <w:spacing w:lineRule="auto" w:line="240" w:before="0" w:after="0"/>
        <w:jc w:val="center"/>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tel.: 739 631 791, email: </w:t>
      </w:r>
      <w:r>
        <w:rPr>
          <w:rFonts w:eastAsia="Times New Roman" w:cs="Times New Roman" w:ascii="Times New Roman" w:hAnsi="Times New Roman"/>
          <w:color w:val="0563C1" w:themeColor="hyperlink"/>
          <w:sz w:val="24"/>
          <w:szCs w:val="24"/>
          <w:u w:val="single"/>
          <w:lang w:eastAsia="cs-CZ"/>
        </w:rPr>
        <w:t>zsledcice@volny.cz</w:t>
      </w:r>
      <w:r>
        <w:rPr>
          <w:rFonts w:eastAsia="Times New Roman" w:cs="Times New Roman" w:ascii="Times New Roman" w:hAnsi="Times New Roman"/>
          <w:sz w:val="24"/>
          <w:szCs w:val="24"/>
          <w:lang w:eastAsia="cs-CZ"/>
        </w:rPr>
        <w:t>, ID datové schránky: fyfmevi</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VNITŘNÍ ŘÁD ŠKOLNÍ DRUŽINY     </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    </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7"/>
        <w:gridCol w:w="5524"/>
      </w:tblGrid>
      <w:tr>
        <w:trPr/>
        <w:tc>
          <w:tcPr>
            <w:tcW w:w="9061" w:type="dxa"/>
            <w:gridSpan w:val="2"/>
            <w:tcBorders/>
            <w:shd w:color="auto" w:fill="DEEAF6" w:themeFill="accent1" w:themeFillTint="33"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cs-CZ" w:eastAsia="en-US" w:bidi="ar-SA"/>
              </w:rPr>
              <w:t>Informace o vydání a účinnosti dokumentu</w:t>
            </w:r>
          </w:p>
        </w:tc>
      </w:tr>
      <w:tr>
        <w:trPr/>
        <w:tc>
          <w:tcPr>
            <w:tcW w:w="3537"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Zpracovala:</w:t>
            </w:r>
          </w:p>
        </w:tc>
        <w:tc>
          <w:tcPr>
            <w:tcW w:w="5524"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Mgr. Ivana Šindelářová, DiS.</w:t>
            </w:r>
          </w:p>
        </w:tc>
      </w:tr>
      <w:tr>
        <w:trPr/>
        <w:tc>
          <w:tcPr>
            <w:tcW w:w="3537"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Schválila (vydala):</w:t>
            </w:r>
          </w:p>
        </w:tc>
        <w:tc>
          <w:tcPr>
            <w:tcW w:w="5524"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Mgr. Martina Sypecká</w:t>
            </w:r>
          </w:p>
        </w:tc>
      </w:tr>
      <w:tr>
        <w:trPr/>
        <w:tc>
          <w:tcPr>
            <w:tcW w:w="3537"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Pedagogická rada projednala:</w:t>
            </w:r>
          </w:p>
        </w:tc>
        <w:tc>
          <w:tcPr>
            <w:tcW w:w="5524"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22. 8. 2022</w:t>
            </w:r>
          </w:p>
        </w:tc>
      </w:tr>
      <w:tr>
        <w:trPr/>
        <w:tc>
          <w:tcPr>
            <w:tcW w:w="3537"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 xml:space="preserve">Směrnice nabývá platnosti: </w:t>
            </w:r>
          </w:p>
        </w:tc>
        <w:tc>
          <w:tcPr>
            <w:tcW w:w="5524"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22. 8. 2022</w:t>
            </w:r>
          </w:p>
        </w:tc>
      </w:tr>
      <w:tr>
        <w:trPr/>
        <w:tc>
          <w:tcPr>
            <w:tcW w:w="3537"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Směrnice nabývá účinnosti:</w:t>
            </w:r>
          </w:p>
        </w:tc>
        <w:tc>
          <w:tcPr>
            <w:tcW w:w="5524"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1. 9. 2022</w:t>
            </w:r>
          </w:p>
        </w:tc>
      </w:tr>
    </w:tbl>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shd w:color="auto" w:fill="DEEAF6" w:themeFill="accent1" w:themeFillTint="33"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cs-CZ" w:eastAsia="en-US" w:bidi="ar-SA"/>
              </w:rPr>
              <w:t xml:space="preserve">Další informace o dokumentu </w:t>
            </w:r>
          </w:p>
        </w:tc>
      </w:tr>
      <w:tr>
        <w:trPr/>
        <w:tc>
          <w:tcPr>
            <w:tcW w:w="4531"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Odkaz na právní předpis, na jehož základě je dokument vydáván:</w:t>
            </w:r>
          </w:p>
        </w:tc>
        <w:tc>
          <w:tcPr>
            <w:tcW w:w="4530"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 xml:space="preserve">Vyhláška č. 74/2005 Sb., o zájmovém vzdělávání ve znění poslední změny vyhláškou č. 163/2018, s účinností dnem </w:t>
              <w:br/>
              <w:t>1. 9. 2018</w:t>
            </w:r>
          </w:p>
        </w:tc>
      </w:tr>
      <w:tr>
        <w:trPr/>
        <w:tc>
          <w:tcPr>
            <w:tcW w:w="4531" w:type="dxa"/>
            <w:tcBorders/>
          </w:tcPr>
          <w:p>
            <w:pPr>
              <w:pStyle w:val="Normal"/>
              <w:widowControl w:val="false"/>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Dokument nahrazuje (zrušuje) tyto dokumenty:</w:t>
            </w:r>
          </w:p>
        </w:tc>
        <w:tc>
          <w:tcPr>
            <w:tcW w:w="4530" w:type="dxa"/>
            <w:tcBorders/>
          </w:tcPr>
          <w:p>
            <w:pPr>
              <w:pStyle w:val="Normal"/>
              <w:widowControl w:val="false"/>
              <w:tabs>
                <w:tab w:val="clear" w:pos="643"/>
                <w:tab w:val="left" w:pos="468" w:leader="none"/>
              </w:tabs>
              <w:suppressAutoHyphens w:val="true"/>
              <w:spacing w:lineRule="auto" w:line="36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Vnitřní řád školní družiny ze dne 1. 9. 2021</w:t>
            </w:r>
          </w:p>
        </w:tc>
      </w:tr>
    </w:tbl>
    <w:p>
      <w:pPr>
        <w:pStyle w:val="Normal"/>
        <w:spacing w:lineRule="auto" w:line="360"/>
        <w:rPr/>
      </w:pPr>
      <w:r>
        <w:rPr/>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Článek 1 </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Obecná ustanovení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V souladu s ustanovením § 30 odst. 1 zákona č. 561/2004 Sb., o předškolním, základním, středním, vyšším odborném a jiném vzdělávání (školský zákon), v platném znění, vydává ředitelka Základní školy a mateřské školy Ledčice, příspěvková organizace, jako statutární orgán školy tento vnitřní řád.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Článek 2 </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Působnost a zásady směrnice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Vnitřní řád upravuje činnost školní družiny. Školní družina poskytuje zájmové vzdělávání žákům Základní školy a mateřské školy Ledčice, příspěvkové</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organizace. Vnitřní řád vzniká na dobu neurčitou a s jeho zněním jsou seznámeni všichni zaměstnanci školy, zákonní zástupci a žáci školní družiny.</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Článek 3 </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Práva a povinnosti žáků, zákonných zástupců a pedagogických pracovníků, provoz </w:t>
        <w:br/>
        <w:t xml:space="preserve">a vnitřní režim školní družiny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3.1 Práva a povinnosti žáků školní družiny a jejich zákonných zástupců, pravidla jejich vzájemných vztahů se zaměstnanci ve školní družině</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Žák má právo na ochranu před jakoukoli formou diskriminace a násilí, má právo na vzdělání, na svobodu myšlení, projevu, shromažďování, náboženství, na odpočinek a dodržování základních psychohygienických podmínek, má právo být seznámen se všemi předpisy </w:t>
        <w:br/>
        <w:t xml:space="preserve">se vztahem k jeho pobytu a činnosti v družině a vyslovovat svůj názor, uplatňovat svá práva, která jsou v souladu s obecně platnými právními předpisy a předpisy školní družiny. Žák školní družiny je povinen řádně docházet do školní družiny a zájmových činností, dodržovat Vnitřní řád školní družiny a pravidla bezpečnosti a ochrany zdraví, s nimiž byl seznámen, slušně se chovat, respektovat a plnit pokyny pedagogických pracovníků. Zákonní zástupci mají právo na veškeré informace týkající se žáka i činnosti školní družiny, vyjadřovat se ke všem rozhodnutím týkajícím se podstatných záležitostí jejich dětí, přičemž jejich vyjádřením musí být věnována pozornost. Zákonní zástupci žáků jsou povinni zajistit, aby žák docházel řádně do školní družiny a zájmových činností, informovat o zdravotních obtížích žáka nebo jiných závažných skutečnostech, které by mohly mít vliv na průběh pobytu žáků ve školní družině, dokládat důvody nepřítomnosti žáka, nahlásit změnu telefonu a bydliště, uhradit úplatu za zájmové vzdělávání v daných termínech. Pedagogičtí pracovníci mají právo na zajištění podmínek potřebných pro výkon jejich pedagogické činnosti, zejména na ochranu před fyzickým násilím nebo psychickým nátlakem ze strany žáků nebo zákonných zástupců. Vztahy všech účastníků zájmového vzdělávání musí vycházet ze vzájemné úcty, respektu, názorové solidarity a důstojnosti. Pedagogičtí pracovníci vydávají žákům a zákonným zástupcům žáka pouze takové pokyny, které souvisí s plněním ŠVP, vnitřního řádu a dalších nezbytných organizačních opatření, úzce spolupracují s rodinou, dle možností znají žákovo rodinné zázemí a snaží se ve družině vytvářet příznivé společenské klima.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3.2 Ochrana osobních údajů</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Zaměstnanci jsou povinni zachovávat mlčenlivost a chránit před zneužitím data, údaje a osobní údaje žáků a zaměstnanců školy, citlivé osobní údaje, informace o zdravotním stavu žáků a další informace, se kterými přišli do styku v souvislosti s výkonem práce v rámci pracovněprávního vztahu ke škole. Osobní informace o žácích uvedené na přihlášce do školní družiny využíváme v souladu s platnou legislativou a nařízením GDPR, údaje jsou poskytovány jen omezenému okruhu pracovníků školy podle vnitřních směrnic.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3.3 Provoz a vnitřní režim školní družiny</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Školní družina je v provozu ráno od 6:30 hodin do začátku školního vyučování a hned </w:t>
        <w:br/>
        <w:t xml:space="preserve">po vyučování do 16:30 hodin. Do ranní družiny mohou žáci přicházet hlavním vchodem od 6:30 – 7:30 hodin. Po ranní družině odchází děti do svých tříd. Po skončení vyučování přebírají žáky vychovatelky. Pokud stanoví zákonný zástupce odchod žáka dříve, odchází žák z toho místa, kde právě probíhá činnost oddělení školní družiny. Dále pak již škola neodpovídá za jeho bezpečnost. Žák je ze školní družiny uvolňován na základě údajů v přihlášce. Pokud má odejít jinak, pustí ho vychovatelka pouze na písemnou žádost (omluvenku) zákonného zástupce na samostatném lístku, případně prostřednictvím Bakalářů. Omluvenka je umístěna na webových stránkách školy. Vychovatelka si omluvenky zakládá, na konci školního roku odevzdává s veškerými dokumenty ředitelce školy k archivaci. Nepřítomnost žáka ve školní družině je omluvena nepřítomností žáka ve vyučování   Během provozu nevstupují z hygienických a bezpečnostních důvodů zákonní zástupci či jiné pověřené osoby do prostor školy a oddělení. Komunikace s vychovatelkami probíhá přes dveřní hlásku.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Hygienická a protiepdemická opatření: Provoz školní družiny a jeho případné omezení respektuje aktuální epidemiologickou situaci a příslušná opatření a nařízení Ministerstva zdravotnictví, Krajské hygienické stanice, MŠMT a případně dalších orgánů.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Organizace dne:</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6:30 – 7:30 ranní družina – odpočinkové činnosti, spontánní činnosti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11:30 – 13:00 – osobní hygiena, oběd, společná četba, odpočinkové činnosti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13:00 – 15:00 – pobyt venku, organizované činnosti, zájmové a spontánní činnosti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15:00 – 16:30 – osobní hygiena, svačina, odpočinkové činnosti, úklid, příprava na vyučování</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Po 15. hodině se jednotlivá oddělení postupně spojují dle předem nachystaného harmonogramu vycházejícího z aktuálního počtu přihlášených žáků.</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Ve školní družině mají všichni možnost pravidelného přisunu tekutin v podobě pitné vody. Při stravování je pitný režim zajištěný ve školní jídelně.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3.4 Užívané místnosti</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Druhé oddělení školní družiny má k dispozici vlastní prostory v druhém patře, první oddělení využívá učebnu III.  ve druhém patře a třetí oddělení učebnu IV. v přízemí. Školní družina má k dispozici v případě potřeby další učebny či tělocvičný sálek.</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Při pobytu venku využívá školní družina školní hřiště, školní zahradu, fotbalové hřiště v obci a okolní krajinu.  </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3.5 Způsob přihlašování žáků do školní družiny, odhlášení či vyloučení žáka ze školní družiny</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3.5 Způsob přihlašování žáků do školní družiny, odhlášení či vyloučení žáka ze školní družiny, evidence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Oddělení se naplňuje nejvýše do počtu 30 žáků, kapacita ŠD je 80 žáků. O přijetí účastníka </w:t>
        <w:br/>
        <w:t xml:space="preserve">k zájmovému vzdělávání ve formě pravidelné zájmové, výchovné, rekreační nebo vzdělávací činnosti včetně přípravy na vyučování se rozhoduje na základě písemné přihlášky. Součástí přihlášky je písemné sdělení zákonných zástupců účastníka o rozsahu docházky a způsobu odchodu účastníka z družiny. Zákonní zástupci jsou při zařazení dítěte prokazatelně seznámeni s Vnitřním řádem školní družiny a směrnicí ŘŠ o úplatě školní družiny.  Členství zaniká písemným odhlášením s podpisem zákonného zástupce. O vyloučení z docházky do školní družiny rozhodne ředitel školy na základě návrhu vedoucí vychovatelky školní družiny a po projednání v pedagogické radě. Rozhodnutí o vyloučení ze školní družiny sdělí ředitel školy rodičům žáka písemně s patřičným zdůvodněním. Vyloučení nebo podmínečně vyloučení ze školní družiny není podmíněno tím, že žák splní povinnou školní docházku. Podle ustanovení § 31 odst. 3 školského zákona.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Za závažné porušení se považuje jednání, kdy žák soustavně porušuje vnitřní řád, ohrožuje bezpečnost a zdraví jiných žáků, porušuje kázeň. K vyloučení může dojít i z jiných závažných důvodů. Zvláště hrubé opakované slovní a úmyslné fyzické útoky žáka vůči zaměstnancům školy nebo školského zařízení nebo vůči ostatním žákům se považují za zvláště závažné zaviněné porušení povinností stanovených školským zákonem. Dopustí-li se žák tohoto jednání, oznámí ředitelka školy tuto skutečnost orgánu sociálně-právní ochrany dětí </w:t>
        <w:br/>
        <w:t>do následujícího pracovního dne poté, co se o tom dozvěděl. Žáci přihlášeni k pravidelné denní docházce jsou evidováni v elektronické třídní knize, žáci z ranní družiny jsou evidováni v docházkovém sešitu, účastníci zájmových činností v záznamech o práci. Ředitelka školy stanovuje nejvyšší počet účastníků na jednoho pedagogického pracovníka s ohledem na druh vykonávané činnosti účastníků, zejména s ohledem na jejich bezpečnost takto: v jednom oddělení je maximálně 30 účastníků na jednoho pedagogického pracovníka v areálu školy. Při opuštění areálu školy je na jednoho pedagogického pracovníka maximálně 25 účastníků.</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3.6 Postup vychovatelky při nevyzvednutí žáka do konce provozní doby školní družiny</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Provoz školní družiny končí v 16.30 hodin. Při nevyzvednutí žáka do této doby vychovatelka nejdříve podle možností informuje telefonicky zákonného zástupce žáka, nebo osoby uvedené na přihlášce do školní družiny a po domluvě počká s žákem do jejich příchodu. Není-li nikdo ze zákonných zástupců či uvedených kontaktních osob k zastižení, sdělí situaci vychovatelka situaci řediteli školy, event. Policii České republiky, OSPODu. Dítě, které zůstalo v družině bez jakéhokoliv zázemí, se posuzuje jako dítě vyžadující okamžitou pomoc. Je velmi důležité minimalizovat stresování dítěte, které se tímto dostalo do nezáviděníhodné situace. Rovněž při opakovaném nevyzvednutí žáka kontaktuje vychovatelka pracovníka orgánu péče o dítě. Po předání žáků zákonným zástupcům všichni společně opustí areál školy. Vstup na školní zahradu je zákonným zástupcům zakázán. Nežije-li dítě s oběma rodiči v jedné domácnosti, např. z důvodu rozvodu manželství nebo kvůli tomu, že rodiče žijí odděleně, je potřebné, aby zákonní zástupci oznámili, jak je otázka péče o dítě a osobního styku dítěte se zákonným zástupcem upravena.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3.7 Úplata za zájmové vzdělávání Podmínky platby za pobyt žáka v školní družině upravuje směrnice ředitelky školy o úplatě za zájmové vzdělávání.</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Úplata za školní družinu  je stanovena na 60 Kč za měsíc, je hrazena hotově či bezhotovostně. Prominout nebo snížit úplatu lze v případech uvedených ustanoveními § 11 odst. 3 a odst. 4 Vyhlášky č. 74/2005 Sb. v platním znění.</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3.8 Podmínky činnosti školní družiny v době školních prázdnin</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Po projednání se zřizovatelem může ředitelka školy přerušit činnost školní družiny v době školních prázdnin. Informaci o přerušení provozu ředitelka školy zveřejní na webu školy.</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3.9. Podmínky používání mobilních telefonů a zařízení mp3, mp4, tablet, Ipad, chytré hodinky</w:t>
      </w:r>
      <w:r>
        <w:rPr>
          <w:rFonts w:cs="Times New Roman" w:ascii="Times New Roman" w:hAnsi="Times New Roman"/>
          <w:sz w:val="24"/>
          <w:szCs w:val="24"/>
        </w:rPr>
        <w:t xml:space="preserve"> mohou žáci používat pouze ke komunikaci se zákonnými zástupci po dohodě s vychovatelkou.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3.10 Pravidla kontaktu vychovatelek školní družiny se zákonnými zástupci žáků</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Kontakt se zákonnými zástupci probíhá prostřednictvím programu Bakaláři, při předávání žáků, jsou-li mimo areál školy a kdykoli po předchozí domluvě. </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3.11 Další činnosti organizované školní družinou či pořádané v jejím rámci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Školní družina pořádá pro družinové žáky mimo činnost v jednotlivých odděleních společné tradiční i příležitostné akce a zájmové činnosti.</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3.12 Podmínky zajištění bezpečnosti a ochrany zdraví žáků v školní družině a jejich ochrany před sociálně patologickými jevy a před projevy diskriminace, nepřátelství nebo násilí</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Každá vychovatelka zodpovídá za bezpečnost žáků ve svém oddělení školní družiny,  a to od příchodu žáka až do jeho odchodu z družiny. Žáci jsou vychovatelkou poučeni o bezpečnosti a chování při činnosti školní družiny, při přesunech ve škole, při pobytu venku,  a jsou povinni se těmito pravidly řídit. O tomto provede vychovatelka zápis do třídní knihy. Žák bez vědomí vychovatelky neopouští školní družinu. Pokud se žákovi stane úraz, jeho povinností je toto neprodleně oznámit vychovatelce školní družiny. Později oznámený úraz nebude brán jako školní úraz. V případě úrazu žáka vychovatelka vyrozumí zákonného zástupce o úraze a domluví s nimi postup ošetření. Pokud vychovatelka nezastihne zákonného zástupce žáka, zajistí ošetření sama, ostatním žákům zajistí dohled. Úraz ihned hlásí ředitelce školy. Pokud žák onemocní v průběhu pobytu ve školní družině, vychovatelka kontaktuje zákonné zástupce.  Ti jsou povinni vyzvednout si žáka ze školní družiny co nejdříve. Při pobytu v areálu školní zahrady kontrolují všechny herní prvky. Při pobytu ve družině se řídí společnými pravidly. Všichni pedagogičtí pracovníci jsou při zájmovém vzdělávání a během souvisejícího provozu školní družiny povinni přihlížet k základním fyziologickým potřebám žáků, vytvářet podmínky pro jejich zdravý vývoj. Průběžně sledují konkrétní podmínky a situaci ve školní družině z hlediska výskytu rizikového chování žáků, sociálně patologických jevů, projevy diskriminace, nepřátelství nebo násilí, uplatňují různé formy a metody umožňující včasné zachycení ohrožených žáků.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Při zjištěných projevech rizikového chování žáků školní družina postupuje v souladu s pokyny a metodickými doporučeními MŠMT vydané k primární prevenci rizikového chování.</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3.13 Podmínky zacházení s majetkem školy ze strany žáků</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Žáci jsou povinni řádně pečovat o propůjčený majetek školní družiny a ochraňovat jej před ztrátou a poškozením. Zákonní zástupci uvedou do původního stavu nebo uhradí opravu společného majetku školní družiny, k jehož poškození došlo ze strany žáka úmyslně.</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Článek 4 </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Závěrečná ustanovení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a) Kontrolou provádění ustanovení tohoto řádu je statutárním orgánem školy pověřena vedoucí vychovatelka školní družiny.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b) Uložení směrnice ve spisovně školy se řídí spisovým a skartačním řádem školy.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c) Vnitřní řád ruší platnost Vnitřního řádu ŠD ze dne 1. 9. 2021.</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V Ledčicích dne 23. 8.  2022</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Mgr. Martina Sypecká, ředitel školy</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643"/>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both"/>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rPr>
      <w:color w:val="000080"/>
      <w:u w:val="single"/>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cf02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LibreOffice/7.0.2.2$Windows_X86_64 LibreOffice_project/8349ace3c3162073abd90d81fd06dcfb6b36b994</Application>
  <Pages>7</Pages>
  <Words>1994</Words>
  <Characters>11936</Characters>
  <CharactersWithSpaces>14004</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2022-08-30T06:18:00Z</dcterms:created>
  <dc:creator>Mgr.Bc.Lucie Dražilová</dc:creator>
  <dc:description/>
  <dc:language>cs-CZ</dc:language>
  <cp:lastModifiedBy/>
  <cp:lastPrinted>2021-09-30T16:47:00Z</cp:lastPrinted>
  <dcterms:modified xsi:type="dcterms:W3CDTF">2022-08-30T13:52:10Z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