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dpis1"/>
        <w:bidi w:val="0"/>
        <w:spacing w:before="240" w:after="120"/>
        <w:jc w:val="left"/>
        <w:rPr/>
      </w:pPr>
      <w:r>
        <w:rPr/>
      </w:r>
    </w:p>
    <w:p>
      <w:pPr>
        <w:pStyle w:val="Nadpis1"/>
        <w:bidi w:val="0"/>
        <w:jc w:val="center"/>
        <w:rPr>
          <w:sz w:val="48"/>
          <w:szCs w:val="48"/>
        </w:rPr>
      </w:pPr>
      <w:bookmarkStart w:id="0" w:name="__RefHeading___Toc322_3674607784"/>
      <w:bookmarkEnd w:id="0"/>
      <w:r>
        <w:rPr>
          <w:sz w:val="48"/>
          <w:szCs w:val="48"/>
        </w:rPr>
        <w:t>Školní vzdělávací program </w:t>
      </w:r>
    </w:p>
    <w:p>
      <w:pPr>
        <w:pStyle w:val="Tlotextu"/>
        <w:bidi w:val="0"/>
        <w:jc w:val="left"/>
        <w:rPr>
          <w:sz w:val="48"/>
          <w:szCs w:val="48"/>
        </w:rPr>
      </w:pPr>
      <w:r>
        <w:rPr>
          <w:sz w:val="48"/>
          <w:szCs w:val="48"/>
        </w:rPr>
      </w:r>
    </w:p>
    <w:p>
      <w:pPr>
        <w:pStyle w:val="Tlotextu"/>
        <w:bidi w:val="0"/>
        <w:jc w:val="center"/>
        <w:rPr>
          <w:sz w:val="32"/>
          <w:szCs w:val="32"/>
        </w:rPr>
      </w:pPr>
      <w:r>
        <w:rPr>
          <w:sz w:val="32"/>
          <w:szCs w:val="32"/>
        </w:rPr>
        <w:t>Družina – místo, kam chodím rád</w:t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2234565</wp:posOffset>
            </wp:positionH>
            <wp:positionV relativeFrom="paragraph">
              <wp:posOffset>137160</wp:posOffset>
            </wp:positionV>
            <wp:extent cx="2139950" cy="2117725"/>
            <wp:effectExtent l="0" t="0" r="0" b="0"/>
            <wp:wrapTopAndBottom/>
            <wp:docPr id="1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3132" t="1721" r="10157" b="1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center"/>
        <w:rPr/>
      </w:pPr>
      <w:r>
        <w:rPr/>
        <w:t>Základní škola a mateřská škola Ledčice</w:t>
      </w:r>
    </w:p>
    <w:p>
      <w:pPr>
        <w:pStyle w:val="Tlotextu"/>
        <w:bidi w:val="0"/>
        <w:jc w:val="center"/>
        <w:rPr/>
      </w:pPr>
      <w:r>
        <w:rPr/>
        <w:t>Ledčice 179, 277 08 Ledčice</w:t>
      </w:r>
    </w:p>
    <w:p>
      <w:pPr>
        <w:pStyle w:val="Tlotextu"/>
        <w:bidi w:val="0"/>
        <w:jc w:val="center"/>
        <w:rPr/>
      </w:pPr>
      <w:r>
        <w:rPr/>
        <w:t>IČO 70996598</w:t>
      </w:r>
    </w:p>
    <w:p>
      <w:pPr>
        <w:pStyle w:val="Tlotextu"/>
        <w:bidi w:val="0"/>
        <w:jc w:val="center"/>
        <w:rPr/>
      </w:pPr>
      <w:r>
        <w:rPr/>
        <w:t>Ředitel základní školy: Mgr. Martina Sypecká</w:t>
      </w:r>
    </w:p>
    <w:p>
      <w:pPr>
        <w:pStyle w:val="Tlotextu"/>
        <w:bidi w:val="0"/>
        <w:jc w:val="center"/>
        <w:rPr/>
      </w:pPr>
      <w:r>
        <w:rPr/>
        <w:t>Kontakty: tel. 315 765 624, 605 003 502, email - zsledcice@volny.cz</w:t>
      </w:r>
    </w:p>
    <w:p>
      <w:pPr>
        <w:pStyle w:val="Tlotextu"/>
        <w:bidi w:val="0"/>
        <w:jc w:val="center"/>
        <w:rPr/>
      </w:pPr>
      <w:r>
        <w:rPr/>
        <w:t>www: www.ledcice.cz/skola</w:t>
      </w:r>
    </w:p>
    <w:p>
      <w:pPr>
        <w:pStyle w:val="Tlotextu"/>
        <w:bidi w:val="0"/>
        <w:jc w:val="center"/>
        <w:rPr/>
      </w:pPr>
      <w:r>
        <w:rPr/>
        <w:t>Aktualizace dokumentu: k 1. 9. 2021</w:t>
      </w:r>
    </w:p>
    <w:p>
      <w:pPr>
        <w:pStyle w:val="Tlotextu"/>
        <w:bidi w:val="0"/>
        <w:jc w:val="center"/>
        <w:rPr/>
      </w:pPr>
      <w:r>
        <w:rPr/>
        <w:t>Vytvořila vedoucí vychovatelka: Mgr. Ivana Šindelářová, DiS.</w:t>
      </w:r>
    </w:p>
    <w:p>
      <w:pPr>
        <w:pStyle w:val="Tlotextu"/>
        <w:bidi w:val="0"/>
        <w:jc w:val="center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Nadpis1"/>
        <w:bidi w:val="0"/>
        <w:jc w:val="left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AHeading"/>
            <w:suppressLineNumbers/>
            <w:ind w:left="0" w:hanging="0"/>
            <w:rPr>
              <w:b/>
              <w:b/>
              <w:bCs/>
              <w:sz w:val="32"/>
              <w:szCs w:val="32"/>
            </w:rPr>
          </w:pPr>
          <w:r>
            <w:rPr>
              <w:b/>
              <w:bCs/>
              <w:sz w:val="32"/>
              <w:szCs w:val="32"/>
            </w:rPr>
            <w:t>Obsah</w:t>
          </w:r>
        </w:p>
        <w:p>
          <w:pPr>
            <w:pStyle w:val="Obsah1"/>
            <w:rPr/>
          </w:pPr>
          <w:r>
            <w:fldChar w:fldCharType="begin"/>
          </w:r>
          <w:r>
            <w:rPr/>
            <w:instrText> TOC \f \o "1-9" \h</w:instrText>
          </w:r>
          <w:r>
            <w:rPr/>
            <w:fldChar w:fldCharType="separate"/>
          </w:r>
          <w:hyperlink w:anchor="__RefHeading___Toc106_1710504944">
            <w:r>
              <w:rPr/>
            </w:r>
          </w:hyperlink>
          <w:r>
            <w:rPr/>
            <w:fldChar w:fldCharType="end"/>
          </w:r>
        </w:p>
      </w:sdtContent>
    </w:sdt>
    <w:p>
      <w:pPr>
        <w:pStyle w:val="Obsah1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Obsah1"/>
        <w:rPr/>
      </w:pPr>
      <w:hyperlink w:anchor="__RefHeading___Toc106_1710504944">
        <w:r>
          <w:rPr>
            <w:rStyle w:val="Odkaznarejstk"/>
            <w:sz w:val="28"/>
            <w:szCs w:val="28"/>
          </w:rPr>
          <w:t>Cíle vzdělávání</w:t>
          <w:tab/>
          <w:t>3</w:t>
        </w:r>
      </w:hyperlink>
    </w:p>
    <w:p>
      <w:pPr>
        <w:pStyle w:val="Obsah1"/>
        <w:rPr/>
      </w:pPr>
      <w:r>
        <w:rPr/>
      </w:r>
    </w:p>
    <w:p>
      <w:pPr>
        <w:pStyle w:val="Obsah1"/>
        <w:rPr/>
      </w:pPr>
      <w:hyperlink w:anchor="__RefHeading___Toc108_1710504944">
        <w:r>
          <w:rPr>
            <w:rStyle w:val="Odkaznarejstk"/>
            <w:sz w:val="28"/>
            <w:szCs w:val="28"/>
          </w:rPr>
          <w:t>Délka vzdělávání</w:t>
          <w:tab/>
          <w:t>4</w:t>
        </w:r>
      </w:hyperlink>
    </w:p>
    <w:p>
      <w:pPr>
        <w:pStyle w:val="Obsah1"/>
        <w:rPr/>
      </w:pPr>
      <w:r>
        <w:rPr/>
      </w:r>
    </w:p>
    <w:p>
      <w:pPr>
        <w:pStyle w:val="Obsah1"/>
        <w:rPr/>
      </w:pPr>
      <w:hyperlink w:anchor="__RefHeading___Toc110_1710504944">
        <w:r>
          <w:rPr>
            <w:rStyle w:val="Odkaznarejstk"/>
            <w:sz w:val="28"/>
            <w:szCs w:val="28"/>
          </w:rPr>
          <w:t>Formy</w:t>
          <w:tab/>
          <w:t>4</w:t>
        </w:r>
      </w:hyperlink>
    </w:p>
    <w:p>
      <w:pPr>
        <w:pStyle w:val="Obsah1"/>
        <w:rPr/>
      </w:pPr>
      <w:r>
        <w:rPr/>
      </w:r>
    </w:p>
    <w:p>
      <w:pPr>
        <w:pStyle w:val="Obsah1"/>
        <w:rPr/>
      </w:pPr>
      <w:hyperlink w:anchor="__RefHeading___Toc112_1710504944">
        <w:r>
          <w:rPr>
            <w:rStyle w:val="Odkaznarejstk"/>
            <w:sz w:val="28"/>
            <w:szCs w:val="28"/>
          </w:rPr>
          <w:t>Obsah a časový plán vzdělávání</w:t>
          <w:tab/>
          <w:t>5</w:t>
        </w:r>
      </w:hyperlink>
    </w:p>
    <w:p>
      <w:pPr>
        <w:pStyle w:val="Obsah2"/>
        <w:rPr/>
      </w:pPr>
      <w:r>
        <w:rPr/>
      </w:r>
    </w:p>
    <w:p>
      <w:pPr>
        <w:pStyle w:val="Obsah2"/>
        <w:rPr/>
      </w:pPr>
      <w:hyperlink w:anchor="__RefHeading___Toc114_1710504944">
        <w:r>
          <w:rPr>
            <w:rStyle w:val="Odkaznarejstk"/>
            <w:sz w:val="28"/>
            <w:szCs w:val="28"/>
          </w:rPr>
          <w:t>Obsah vzdělávání</w:t>
          <w:tab/>
          <w:t>5</w:t>
        </w:r>
      </w:hyperlink>
    </w:p>
    <w:p>
      <w:pPr>
        <w:pStyle w:val="Obsah2"/>
        <w:rPr/>
      </w:pPr>
      <w:r>
        <w:rPr/>
      </w:r>
    </w:p>
    <w:p>
      <w:pPr>
        <w:pStyle w:val="Obsah2"/>
        <w:rPr/>
      </w:pPr>
      <w:hyperlink w:anchor="__RefHeading___Toc116_1710504944">
        <w:r>
          <w:rPr>
            <w:rStyle w:val="Odkaznarejstk"/>
            <w:sz w:val="28"/>
            <w:szCs w:val="28"/>
          </w:rPr>
          <w:t>Časový plán vzdělávání</w:t>
          <w:tab/>
          <w:t>5</w:t>
        </w:r>
      </w:hyperlink>
    </w:p>
    <w:p>
      <w:pPr>
        <w:pStyle w:val="Obsah1"/>
        <w:rPr/>
      </w:pPr>
      <w:r>
        <w:rPr/>
      </w:r>
    </w:p>
    <w:p>
      <w:pPr>
        <w:pStyle w:val="Obsah1"/>
        <w:rPr/>
      </w:pPr>
      <w:hyperlink w:anchor="__RefHeading___Toc118_1710504944">
        <w:r>
          <w:rPr>
            <w:rStyle w:val="Odkaznarejstk"/>
            <w:sz w:val="28"/>
            <w:szCs w:val="28"/>
          </w:rPr>
          <w:t>Výchovně vzdělávací činnost</w:t>
          <w:tab/>
          <w:t>6</w:t>
        </w:r>
      </w:hyperlink>
    </w:p>
    <w:p>
      <w:pPr>
        <w:pStyle w:val="Obsah1"/>
        <w:rPr/>
      </w:pPr>
      <w:r>
        <w:rPr/>
      </w:r>
    </w:p>
    <w:p>
      <w:pPr>
        <w:pStyle w:val="Obsah1"/>
        <w:rPr/>
      </w:pPr>
      <w:hyperlink w:anchor="__RefHeading___Toc120_1710504944">
        <w:r>
          <w:rPr>
            <w:rStyle w:val="Odkaznarejstk"/>
            <w:sz w:val="28"/>
            <w:szCs w:val="28"/>
          </w:rPr>
          <w:t>Podmínky přijímání uchazečů</w:t>
          <w:tab/>
          <w:t>6</w:t>
        </w:r>
      </w:hyperlink>
    </w:p>
    <w:p>
      <w:pPr>
        <w:pStyle w:val="Obsah1"/>
        <w:rPr/>
      </w:pPr>
      <w:r>
        <w:rPr/>
      </w:r>
    </w:p>
    <w:p>
      <w:pPr>
        <w:pStyle w:val="Obsah1"/>
        <w:rPr/>
      </w:pPr>
      <w:hyperlink w:anchor="__RefHeading___Toc122_1710504944">
        <w:r>
          <w:rPr>
            <w:rStyle w:val="Odkaznarejstk"/>
            <w:sz w:val="28"/>
            <w:szCs w:val="28"/>
          </w:rPr>
          <w:t>Podmínky pro průběh a ukončování vzdělávání</w:t>
          <w:tab/>
          <w:t>7</w:t>
        </w:r>
      </w:hyperlink>
    </w:p>
    <w:p>
      <w:pPr>
        <w:pStyle w:val="Obsah1"/>
        <w:rPr/>
      </w:pPr>
      <w:r>
        <w:rPr/>
      </w:r>
    </w:p>
    <w:p>
      <w:pPr>
        <w:pStyle w:val="Obsah1"/>
        <w:rPr/>
      </w:pPr>
      <w:hyperlink w:anchor="__RefHeading___Toc124_1710504944">
        <w:r>
          <w:rPr>
            <w:rStyle w:val="Odkaznarejstk"/>
            <w:sz w:val="28"/>
            <w:szCs w:val="28"/>
          </w:rPr>
          <w:t>Podmínky pro vzdělávání žáků se speciálními vzdělávacími potřebami</w:t>
          <w:tab/>
          <w:t>7</w:t>
        </w:r>
      </w:hyperlink>
    </w:p>
    <w:p>
      <w:pPr>
        <w:pStyle w:val="Obsah1"/>
        <w:rPr/>
      </w:pPr>
      <w:r>
        <w:rPr/>
      </w:r>
    </w:p>
    <w:p>
      <w:pPr>
        <w:pStyle w:val="Obsah1"/>
        <w:rPr/>
      </w:pPr>
      <w:hyperlink w:anchor="__RefHeading___Toc126_1710504944">
        <w:r>
          <w:rPr>
            <w:rStyle w:val="Odkaznarejstk"/>
            <w:sz w:val="28"/>
            <w:szCs w:val="28"/>
          </w:rPr>
          <w:t>Popis materiálních, personálních a ekonomických podmínek</w:t>
          <w:tab/>
          <w:t>7</w:t>
        </w:r>
      </w:hyperlink>
    </w:p>
    <w:p>
      <w:pPr>
        <w:pStyle w:val="Obsah2"/>
        <w:rPr/>
      </w:pPr>
      <w:r>
        <w:rPr/>
      </w:r>
    </w:p>
    <w:p>
      <w:pPr>
        <w:pStyle w:val="Obsah2"/>
        <w:rPr/>
      </w:pPr>
      <w:hyperlink w:anchor="__RefHeading___Toc128_1710504944">
        <w:r>
          <w:rPr>
            <w:rStyle w:val="Odkaznarejstk"/>
            <w:sz w:val="28"/>
            <w:szCs w:val="28"/>
          </w:rPr>
          <w:t>Materiální podmínky</w:t>
          <w:tab/>
          <w:t>7</w:t>
        </w:r>
      </w:hyperlink>
    </w:p>
    <w:p>
      <w:pPr>
        <w:pStyle w:val="Obsah2"/>
        <w:rPr/>
      </w:pPr>
      <w:r>
        <w:rPr/>
      </w:r>
    </w:p>
    <w:p>
      <w:pPr>
        <w:pStyle w:val="Obsah2"/>
        <w:rPr/>
      </w:pPr>
      <w:hyperlink w:anchor="__RefHeading___Toc130_1710504944">
        <w:r>
          <w:rPr>
            <w:rStyle w:val="Odkaznarejstk"/>
            <w:sz w:val="28"/>
            <w:szCs w:val="28"/>
          </w:rPr>
          <w:t>Personální podmínky</w:t>
          <w:tab/>
          <w:t>8</w:t>
        </w:r>
      </w:hyperlink>
    </w:p>
    <w:p>
      <w:pPr>
        <w:pStyle w:val="Obsah2"/>
        <w:rPr/>
      </w:pPr>
      <w:r>
        <w:rPr/>
      </w:r>
    </w:p>
    <w:p>
      <w:pPr>
        <w:pStyle w:val="Obsah2"/>
        <w:rPr/>
      </w:pPr>
      <w:hyperlink w:anchor="__RefHeading___Toc132_1710504944">
        <w:r>
          <w:rPr>
            <w:rStyle w:val="Odkaznarejstk"/>
            <w:sz w:val="28"/>
            <w:szCs w:val="28"/>
          </w:rPr>
          <w:t>Ekonomické podmínky</w:t>
          <w:tab/>
          <w:t>9</w:t>
        </w:r>
      </w:hyperlink>
    </w:p>
    <w:p>
      <w:pPr>
        <w:pStyle w:val="Obsah1"/>
        <w:rPr/>
      </w:pPr>
      <w:r>
        <w:rPr/>
      </w:r>
    </w:p>
    <w:p>
      <w:pPr>
        <w:pStyle w:val="Obsah1"/>
        <w:rPr/>
      </w:pPr>
      <w:hyperlink w:anchor="__RefHeading___Toc134_1710504944">
        <w:r>
          <w:rPr>
            <w:rStyle w:val="Odkaznarejstk"/>
            <w:sz w:val="28"/>
            <w:szCs w:val="28"/>
          </w:rPr>
          <w:t>Podmínky bezpečnosti práce a ochrany zdraví</w:t>
          <w:tab/>
          <w:t>9</w:t>
        </w:r>
      </w:hyperlink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Tlotextu"/>
        <w:bidi w:val="0"/>
        <w:jc w:val="left"/>
        <w:rPr/>
      </w:pPr>
      <w:r>
        <w:rPr/>
      </w:r>
    </w:p>
    <w:p>
      <w:pPr>
        <w:pStyle w:val="Nadpis1"/>
        <w:bidi w:val="0"/>
        <w:jc w:val="left"/>
        <w:rPr/>
      </w:pPr>
      <w:bookmarkStart w:id="1" w:name="__RefHeading___Toc106_1710504944"/>
      <w:bookmarkEnd w:id="1"/>
      <w:r>
        <w:rPr/>
        <w:t>Cíle vzdělávání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Hlavním cílem výchovně vzdělávací práce naší školní družiny je vést účastníky (dále jen žáci) školní družiny (dále jen ŠD) ke smysluplnému využívání volného času a vybavovat je dostatkem námětů pro zájmovou činnost. Nabídka různých činností vybízí žáky k aktivizaci, jsou prohlubovány jejich školní znalosti a rozvíjí se jejich osobnost. Navazujeme přitom na výchovnou a vzdělávací strategii školy, která směřuje k naplňování klíčových kompetencí. Učíme naše žáky žít společně. Prostřednictvím komunikace, pozdravu, otázek, odpovědí, poděkování, objasnění, omluvy – faktorů podmiňujících a podporujících žádoucí chování žáky vedeme k prosociálnímu chování. Individuálním přístupem se snažíme především o tyto konkrétní cíle: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odstranění únavy a regenerace organismu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nabízení smysluplného využití volného času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rozvoj schopnosti aktivního trávení volného čas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rozvoj mezilidské komunikace a schopnosti naslouchat sobě i ostatním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rozvoj pozitivních vztahů mezi žáky, spolupráce, tolerance, vzájemná pomoc, ochota pomoci slabším a mladším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rozvoj  přirozené zvídavosti žáka, chuti objevovat i odvahy projevit se a ukázat, co všechno zvládne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rozvoj zdravého sebevědomí, sebejistoty, schopnosti být sám sebou, přizpůsobení  se životu v sociální skupině, položení  základu celoživotního učení a schopnosti jednat v duchu základních lidských a etických hodnot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vedení žáka k tomu, aby každého člověka i sebe vnímal jako jedinečnou osobnost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rozvoj  pohybové schopnosti v oblasti jemné i hrubé motoriky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rozvoj samostatného rozhodování a vytváření  pozitivního postoj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rozvoj slovní zásoby a fantazie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vedení žáků k tvořivosti, utvářet pracovní návyky a vztah k práci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cvičení paměti, postřehu a soustředění, vedení k uvědomování si svých práv, povinností a pocitů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posilování pocitu jistoty a sebedůvěry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získávání a uplatňování znalostí o životním prostředí a jeho ochraně vycházející ze zásad trvale udržitelného rozvoje a o bezpečnosti  a ochraně zdrav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usnadnění  přechodu žáka z předškolního vzdělávání do povinného, pravidelného a systematického vzdělávání </w:t>
      </w:r>
    </w:p>
    <w:p>
      <w:pPr>
        <w:pStyle w:val="Normal"/>
        <w:numPr>
          <w:ilvl w:val="0"/>
          <w:numId w:val="2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umožnění seberealizace každého žáka ve všech aktivitách 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Snažíme se specifickými prostředky pedagogiky volného času posilovat a rozvíjet tyto kompetence: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3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Kompetence k učení 1</w:t>
      </w:r>
    </w:p>
    <w:p>
      <w:pPr>
        <w:pStyle w:val="Normal"/>
        <w:numPr>
          <w:ilvl w:val="0"/>
          <w:numId w:val="3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Kompetence k řešení problémů 2</w:t>
      </w:r>
    </w:p>
    <w:p>
      <w:pPr>
        <w:pStyle w:val="Normal"/>
        <w:numPr>
          <w:ilvl w:val="0"/>
          <w:numId w:val="3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Kompetence komunikativní 3</w:t>
      </w:r>
    </w:p>
    <w:p>
      <w:pPr>
        <w:pStyle w:val="Normal"/>
        <w:numPr>
          <w:ilvl w:val="0"/>
          <w:numId w:val="3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Kompetence sociální a personální 4</w:t>
      </w:r>
    </w:p>
    <w:p>
      <w:pPr>
        <w:pStyle w:val="Normal"/>
        <w:numPr>
          <w:ilvl w:val="0"/>
          <w:numId w:val="3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Kompetence občanská 5</w:t>
      </w:r>
    </w:p>
    <w:p>
      <w:pPr>
        <w:pStyle w:val="Normal"/>
        <w:numPr>
          <w:ilvl w:val="0"/>
          <w:numId w:val="3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Kompetence pracovní 6</w:t>
      </w:r>
    </w:p>
    <w:p>
      <w:pPr>
        <w:pStyle w:val="Normal"/>
        <w:numPr>
          <w:ilvl w:val="0"/>
          <w:numId w:val="3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Kompetence k naplnění volného času 7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 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</w:rPr>
        <w:t>Kompetence k naplnění volného času</w:t>
      </w:r>
      <w:r>
        <w:rPr>
          <w:rFonts w:ascii="Times New Roman" w:hAnsi="Times New Roman"/>
          <w:sz w:val="24"/>
          <w:szCs w:val="24"/>
        </w:rPr>
        <w:t xml:space="preserve"> je pro zájmové vzdělávání určité specifikum. Rozvíjí schopnost využití volného času, volí přiměřené aktivity, dopomáhá k udržování zdravého životního stylu, rozvíjí záliby a zájmy, nabízí relaxaci, stará se o rozvoj nadání atd. Kompetence ve školní družině jsou ze všeho nejvíce zaměřeny na výchovu, a proto nechápeme školní družinu jako pokračování vyučování. Není vůbec složité připravit jednomu žákovi příjemné odpoledne, ve kterém se vystřídá rekreace, oddech, záliba a příprava na vyučování, ale vytvořit tyto podmínky celé skupině žáků je podstatně náročnější. Duševní i tělesné rozpoložení jednotlivců velmi ovlivňuje jakékoliv činnosti ve školní družině, a proto máme vždy zásobu náhradních programů, vlídné a veselé slovo, úsměv. Jedině potom může školní družina poskytovat bezpečné prostředí, a to nejen z hlediska fyzického, ale i emocionálního a sociálního. 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Projekty - ve školní družině jsou realizovány dlouhodobé projekty – Recyklohraní, 72 hodin – Ruku na to!, Záložka do škol spojuje školy a další. Školní družina tematicky navazuje na celoroční projekty základní školy (Bezpečně na silnici, Hurá do vesmíru, Čas rytířů, Cesta na Olymp, Po stopách indiánů, Putování po světadílech, Sazka Olympijský víceboj).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Aktivity v rámci projektu Šablony III Moje moderní škola– Klub pro účastníky ŠD - badatelský klub,  klub komunikace v cizím jazyce – angličtina.  Aktivita Klubu pro účastníky ŠD realizovaná ve výzvě Šablony III Moje moderní škola účastníkům poskytována zdarma.</w:t>
      </w:r>
    </w:p>
    <w:p>
      <w:pPr>
        <w:pStyle w:val="Nadpis1"/>
        <w:bidi w:val="0"/>
        <w:jc w:val="left"/>
        <w:rPr/>
      </w:pPr>
      <w:bookmarkStart w:id="2" w:name="__RefHeading___Toc108_1710504944"/>
      <w:bookmarkEnd w:id="2"/>
      <w:r>
        <w:rPr/>
        <w:t xml:space="preserve"> </w:t>
      </w:r>
      <w:r>
        <w:rPr/>
        <w:t>Délka vzdělávání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Školní družina ve svém vzdělávacím cyklu zahrnuje plán vzdělávání žáků 1. - 5. ročníků. Zájmové vzdělávání ve školní družině je poskytováno na dobu 10 měsíců daného školního roku.</w:t>
      </w:r>
    </w:p>
    <w:p>
      <w:pPr>
        <w:pStyle w:val="Nadpis1"/>
        <w:bidi w:val="0"/>
        <w:jc w:val="left"/>
        <w:rPr/>
      </w:pPr>
      <w:bookmarkStart w:id="3" w:name="__RefHeading___Toc110_1710504944"/>
      <w:bookmarkEnd w:id="3"/>
      <w:r>
        <w:rPr/>
        <w:t xml:space="preserve">Formy 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Zájmové vzdělávání se uskutečňuje formou pravidelné denní docházky,  pravidelné docházky nebo nepravidelné a příležitostné docházky.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dpis1"/>
        <w:bidi w:val="0"/>
        <w:jc w:val="left"/>
        <w:rPr/>
      </w:pPr>
      <w:bookmarkStart w:id="4" w:name="__RefHeading___Toc112_1710504944"/>
      <w:bookmarkEnd w:id="4"/>
      <w:r>
        <w:rPr/>
        <w:t>Obsah a časový plán vzdělávání</w:t>
      </w:r>
    </w:p>
    <w:p>
      <w:pPr>
        <w:pStyle w:val="Nadpis2"/>
        <w:bidi w:val="0"/>
        <w:jc w:val="left"/>
        <w:rPr/>
      </w:pPr>
      <w:bookmarkStart w:id="5" w:name="__RefHeading___Toc114_1710504944"/>
      <w:bookmarkEnd w:id="5"/>
      <w:r>
        <w:rPr/>
        <w:t>Obsah vzdělávání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Obsah vzdělávání vychází z rámcového vzdělávacího programu pro základní školy, vzdělávací oblast Člověk a jeho svět, je rozdělen do pěti tematických okruhů: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4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Místo, kde žijeme.</w:t>
      </w:r>
    </w:p>
    <w:p>
      <w:pPr>
        <w:pStyle w:val="Normal"/>
        <w:numPr>
          <w:ilvl w:val="0"/>
          <w:numId w:val="4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Lidé kolem nás.</w:t>
      </w:r>
    </w:p>
    <w:p>
      <w:pPr>
        <w:pStyle w:val="Normal"/>
        <w:numPr>
          <w:ilvl w:val="0"/>
          <w:numId w:val="4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Lidé a čas.</w:t>
      </w:r>
    </w:p>
    <w:p>
      <w:pPr>
        <w:pStyle w:val="Normal"/>
        <w:numPr>
          <w:ilvl w:val="0"/>
          <w:numId w:val="4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Rozmanitost přírody.</w:t>
      </w:r>
    </w:p>
    <w:p>
      <w:pPr>
        <w:pStyle w:val="Normal"/>
        <w:numPr>
          <w:ilvl w:val="0"/>
          <w:numId w:val="4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Člověk a jeho zdraví.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dpis2"/>
        <w:bidi w:val="0"/>
        <w:jc w:val="left"/>
        <w:rPr/>
      </w:pPr>
      <w:bookmarkStart w:id="6" w:name="__RefHeading___Toc116_1710504944"/>
      <w:bookmarkEnd w:id="6"/>
      <w:r>
        <w:rPr/>
        <w:t>Časový plán vzdělávání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V rámci jednotlivých tematických okruhů ŠD plánuje činnosti ve třech možných úrovních: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5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řízená organizovaná činnost podle týdenní skladby zaměstnání</w:t>
      </w:r>
    </w:p>
    <w:p>
      <w:pPr>
        <w:pStyle w:val="Normal"/>
        <w:numPr>
          <w:ilvl w:val="0"/>
          <w:numId w:val="5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příležitostné akce k vybranému tématu přesahující rámec jednoho oddělení</w:t>
      </w:r>
    </w:p>
    <w:p>
      <w:pPr>
        <w:pStyle w:val="Normal"/>
        <w:numPr>
          <w:ilvl w:val="0"/>
          <w:numId w:val="5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průběžné každodenní působení vychovatelky, které se vztahuje k danému tématu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Součástí časového plánu je evaluační plán. Vnitřní evaluační procesy probíhají na úrovni: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numPr>
          <w:ilvl w:val="0"/>
          <w:numId w:val="6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individuální – každá vychovatelka si průběžné hodnotí vlastní práci, snaží se o evaluaci vzdělávacího procesu, což jí umožní jeho případnou úpravu</w:t>
      </w:r>
    </w:p>
    <w:p>
      <w:pPr>
        <w:pStyle w:val="Normal"/>
        <w:numPr>
          <w:ilvl w:val="0"/>
          <w:numId w:val="6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týmové – metodické sdružení vychovatelek průběžně ústně hodnotí svou činnost, </w:t>
      </w:r>
    </w:p>
    <w:p>
      <w:pPr>
        <w:pStyle w:val="Normal"/>
        <w:numPr>
          <w:ilvl w:val="0"/>
          <w:numId w:val="0"/>
        </w:numPr>
        <w:bidi w:val="0"/>
        <w:spacing w:lineRule="auto" w:line="360"/>
        <w:ind w:left="720" w:hanging="0"/>
        <w:jc w:val="both"/>
        <w:rPr/>
      </w:pPr>
      <w:r>
        <w:rPr>
          <w:rFonts w:ascii="Times New Roman" w:hAnsi="Times New Roman"/>
          <w:sz w:val="24"/>
          <w:szCs w:val="24"/>
        </w:rPr>
        <w:t xml:space="preserve">stanovuje společně postup na další období, provádí případné úpravy vzdělávacího </w:t>
      </w:r>
    </w:p>
    <w:p>
      <w:pPr>
        <w:pStyle w:val="Normal"/>
        <w:numPr>
          <w:ilvl w:val="0"/>
          <w:numId w:val="0"/>
        </w:numPr>
        <w:bidi w:val="0"/>
        <w:spacing w:lineRule="auto" w:line="360"/>
        <w:ind w:left="720" w:hanging="0"/>
        <w:jc w:val="both"/>
        <w:rPr/>
      </w:pPr>
      <w:r>
        <w:rPr>
          <w:rFonts w:ascii="Times New Roman" w:hAnsi="Times New Roman"/>
          <w:sz w:val="24"/>
          <w:szCs w:val="24"/>
        </w:rPr>
        <w:t>plánu.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Hodnocení směrem k žákům provádí vychovatelky průběžně – hodnotí individuální výsledky žáků, jejich pokroky, úspěchy, nezdary. Individuální hodnocení má zvláštní význam i pro sebehodnocení žáka. S žákem o pokrocích, kterých dosahuje, vhodným způsobem vychovatelky také hovoří. Z pohledu celého oddělení hodnotí aktivitu, zájem žáků, jejich náměty a plnění pedagogického záměru. Všechny realizované činnosti hodnotí v souladu s výchovně vzdělávacím programem a zejména z pohledu přínosu pro žáky, což je podkladem pro další práci. Společně s žáky se snaží vytvářet hranice správného chování. Snaží se žáky oceňovat, dávát prostor pro jejich názor.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Nezbytnou podmínkou úspěšné výchovy je nejen láska, ale také respektování osobnosti žáka. Pro život se žáci potřebují  naučit domluvit, vycházet a spolupracovat spolu.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dpis1"/>
        <w:bidi w:val="0"/>
        <w:jc w:val="left"/>
        <w:rPr/>
      </w:pPr>
      <w:bookmarkStart w:id="7" w:name="__RefHeading___Toc118_1710504944"/>
      <w:bookmarkEnd w:id="7"/>
      <w:r>
        <w:rPr/>
        <w:t xml:space="preserve">  </w:t>
      </w:r>
      <w:r>
        <w:rPr/>
        <w:t>Výchovně vzdělávací činnost</w:t>
      </w:r>
    </w:p>
    <w:p>
      <w:pPr>
        <w:pStyle w:val="Normal"/>
        <w:numPr>
          <w:ilvl w:val="0"/>
          <w:numId w:val="7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pravidelná zájmová, výchovná, rekreační nebo vzdělávací činnost včetně možnosti přípravy na vyučování</w:t>
      </w:r>
    </w:p>
    <w:p>
      <w:pPr>
        <w:pStyle w:val="Normal"/>
        <w:numPr>
          <w:ilvl w:val="0"/>
          <w:numId w:val="7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příležitostná zájmová, výchovná, rekreační nebo vzdělávací činnost včetně možnosti přípravy na vzdělávání</w:t>
      </w:r>
    </w:p>
    <w:p>
      <w:pPr>
        <w:pStyle w:val="Normal"/>
        <w:numPr>
          <w:ilvl w:val="0"/>
          <w:numId w:val="7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táborová činnost a další obdobná činnost</w:t>
      </w:r>
    </w:p>
    <w:p>
      <w:pPr>
        <w:pStyle w:val="Normal"/>
        <w:numPr>
          <w:ilvl w:val="0"/>
          <w:numId w:val="7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osvětová činnost (prevence rizikového chování)</w:t>
      </w:r>
    </w:p>
    <w:p>
      <w:pPr>
        <w:pStyle w:val="Normal"/>
        <w:numPr>
          <w:ilvl w:val="0"/>
          <w:numId w:val="7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individuální práce, zejména vytváření podmínek pro rozvoj nadání dětí, žáků a studentů</w:t>
      </w:r>
    </w:p>
    <w:p>
      <w:pPr>
        <w:pStyle w:val="Normal"/>
        <w:numPr>
          <w:ilvl w:val="0"/>
          <w:numId w:val="7"/>
        </w:numPr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spontánní činnosti (využití otevřené nabídky)</w:t>
      </w:r>
    </w:p>
    <w:p>
      <w:pPr>
        <w:pStyle w:val="Normal"/>
        <w:numPr>
          <w:ilvl w:val="0"/>
          <w:numId w:val="0"/>
        </w:numPr>
        <w:bidi w:val="0"/>
        <w:spacing w:lineRule="auto" w:line="360"/>
        <w:ind w:left="720" w:hanging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Uspořádání režimu dne dává možnost pružně reagovat na individuální potřeby aktivity i odpočinku žáků. Umožňuje organizaci činností v průběhu dne přizpůsobit potřebám a aktuální situaci, reaguje i na neplánované situace v družině. Poměr řízených a spontánních činností je vyvážený. Žáci jsou podněcováni k vlastní aktivitě. Tyto aktivity probíhají formou individuální nebo skupinové činnosti. ŠD upřednostňuje pobyt venku za každého počasí, jsou-li žáci vhodně oblečeni. Po vyučování dochází k velkému poklesu výkonnosti. Doba a způsob odpočinku se řídí potřebami žáků. Po odpočinku navazují zájmové činnosti různého zaměření. Činnosti zaměřené na pohyb provádí nejen venku, ale také v tělocvičném sálku, který má ŠD k dispozici každý den.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Provoz ŠD: 6.30 hod. – 7.30 hod., 11.30 - 16.30 hod.</w:t>
      </w:r>
    </w:p>
    <w:p>
      <w:pPr>
        <w:pStyle w:val="Nadpis1"/>
        <w:bidi w:val="0"/>
        <w:jc w:val="left"/>
        <w:rPr/>
      </w:pPr>
      <w:bookmarkStart w:id="8" w:name="__RefHeading___Toc120_1710504944"/>
      <w:bookmarkEnd w:id="8"/>
      <w:r>
        <w:rPr/>
        <w:t>Podmínky přijímání uchazečů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 xml:space="preserve">Žáci se do ŠD přijímají na základě přihlášky do ŠD. Do ŠD mohou být žáci přihlášeni během celého školního roku. O přijímání žáků do školní družiny rozhoduje ředitel školy – zákon č. 561/2004 Sb., ve znění pozdějších předpisů, v souladu s vyhláškou č. 74/2005 Sb., o zájmovém vzdělávání, a to na základě vyplněných náležitostí v písemné přihlášce k přijetí. Součástí přihlášky k pravidelné výchovné, vzdělávací a zájmové činnosti jsou důležité informace o žákovi, sdělení zákonných zástupců účastníka o rozsahu docházky a způsobu odchodu účastníka z družiny.  Předávání informací rodičům, přihlašování a odhlašování žáků do školní družiny zajišťuje vychovatelka.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dpis1"/>
        <w:bidi w:val="0"/>
        <w:jc w:val="left"/>
        <w:rPr/>
      </w:pPr>
      <w:bookmarkStart w:id="9" w:name="__RefHeading___Toc122_1710504944"/>
      <w:bookmarkEnd w:id="9"/>
      <w:r>
        <w:rPr/>
        <w:t>Podmínky pro průběh a ukončování vzdělávání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 xml:space="preserve">Žáci dochází na ranní družinu dle potřeby rodičů v době od 6.30 – 7.30 hodin. Při vstupu do budovy školy zazvoní ve vstupní hale na zvonek ŠD. Vstupní hala je vybavena zároveň i kamerovým systémem. V 7.30 hod. vychovatelka doprovodí žáky ze ŠD do tříd. Po vyučování si žáky opět vychovatelky přebírají a buď je převádí do školní jídelny nebo do školní družiny. Žáci odcházejí ze školní družiny dle vyplněného zápisního lístku do ŠD.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Průběh zájmového vzdělávání navazuje na časový plán vzdělávání. Předčasné ukončení docházky účastníka ŠD (odhlášení účastníka ze ŠD - formulář Odhláška ze školní družiny) je povinen zákonný zástupce účastníka provést písemně s jeho podpisem.  Na písemnou žádost rodičů o vyřazení žáka může žák ukončit docházku během celého školního roku.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dpis1"/>
        <w:bidi w:val="0"/>
        <w:jc w:val="left"/>
        <w:rPr/>
      </w:pPr>
      <w:bookmarkStart w:id="10" w:name="__RefHeading___Toc124_1710504944"/>
      <w:bookmarkEnd w:id="10"/>
      <w:r>
        <w:rPr/>
        <w:t>Podmínky pro vzdělávání žáků se speciálními vzdělávacími potřebami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 xml:space="preserve">Naše ŠD má zkušenosti také s žáky se SPU.  Při výběru činností, při motivování a hodnocení žáků na ně berou vychovatelky ohled. Respektují individualitu každého žáka. Nechávají dostatek času k dokončení činnosti, tolerují horší kvalitu zpracování výrobků, oceňují snahu, podporují skupinovou práci, tolerují psychomotorický neklid, umožňují vzájemnou pomoc, problémy řeší v klidu. Vytváří přiměřené prostředí pro jeho všestranný rozvoj. Podílí se rovněž na péči o nadané žáky. Vytváří vhodné zájmové vzdělávací aktivity zaměřené na rozvoj tvořivosti, spolupráce, vztahů a sociální a emocionální inteligence (literární tvořivost, výtvarná tvořivost, realizace pohybových aktivit, soutěže). Spolupracují s třídním učitelem a zákonnými zástupci.  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dpis1"/>
        <w:bidi w:val="0"/>
        <w:jc w:val="left"/>
        <w:rPr/>
      </w:pPr>
      <w:bookmarkStart w:id="11" w:name="__RefHeading___Toc126_1710504944"/>
      <w:bookmarkEnd w:id="11"/>
      <w:r>
        <w:rPr/>
        <w:t>Popis materiálních, personálních a ekonomických podmínek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dpis2"/>
        <w:bidi w:val="0"/>
        <w:jc w:val="left"/>
        <w:rPr/>
      </w:pPr>
      <w:bookmarkStart w:id="12" w:name="__RefHeading___Toc128_1710504944"/>
      <w:bookmarkEnd w:id="12"/>
      <w:r>
        <w:rPr/>
        <w:t>Materiální podmínky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 xml:space="preserve">Do ŠD chodí žáci 1. – 5. ročníku. Školní družinu tvoří 3 oddělení. Kapacita ŠD je 80 žáků. 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Oddělení č. 1 a č. 2 využívá pro svou činnost celé druhé patro budovy školy (škola je po velké rekonstrukci od roku 2019). Oddělení č. 3 využívá učebnu </w:t>
      </w:r>
      <w:r>
        <w:rPr>
          <w:rFonts w:ascii="Times New Roman" w:hAnsi="Times New Roman"/>
          <w:sz w:val="24"/>
          <w:szCs w:val="24"/>
        </w:rPr>
        <w:t>v přízemí školy</w:t>
      </w:r>
      <w:r>
        <w:rPr>
          <w:rFonts w:ascii="Times New Roman" w:hAnsi="Times New Roman"/>
          <w:sz w:val="24"/>
          <w:szCs w:val="24"/>
        </w:rPr>
        <w:t>, kde má k dispozici školní lavice, hravý koutek (koberec), interaktivní tabuli, notebooky. Dále pak hračky, stavebnice, stolní hry a výtvarný materiál.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 xml:space="preserve">Pro zájmové činnosti využívá ŠD další prostory školy, např. tělocvičný sálek. K pohybu venku také hřiště v areálu školy nebo nově zrekonstruovanou školní zahradu (v zadní části školy), popř. dochází na nedaleké fotbalové hřiště. 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Pro poslechové činnosti používá CD přehrávač. Má k dispozici  interaktivní tabule, tablety, notebooky. Pro dramatické činnosti využívá Orffovy nástroje, piano, kytaru, kostýmy, maňásky či jiné divadelní pomůcky. Při aktivitách venku využívá sportovní náčiní: míče, obruče, švihadla, florbalové hokejky a další. Každé oddělení je vybaveno stolními hrami, stavebnicemi, dětskými knihami a časopisy. Žáci mají k dispozici různý výtvarný materiál (náčrtníky, výkresy, barevné papíry, pastelky, fixy, voskovky, různé druhy barev) a pomůcky k zájmovým činnostem.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 </w:t>
      </w:r>
    </w:p>
    <w:p>
      <w:pPr>
        <w:pStyle w:val="Nadpis2"/>
        <w:bidi w:val="0"/>
        <w:jc w:val="left"/>
        <w:rPr/>
      </w:pPr>
      <w:bookmarkStart w:id="13" w:name="__RefHeading___Toc130_1710504944"/>
      <w:bookmarkEnd w:id="13"/>
      <w:r>
        <w:rPr/>
        <w:t>Personální podmínky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 xml:space="preserve">V ŠD pracují vychovatelky, které jsou plně kvalifikované.  Všichni  se chovají a jednají v souladu se společenskými pravidly, pedagogickými a metodickými zásadami výchovně vzdělávací činnosti v ŠD. 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Uplatňují moderní pedagogické přístupy a metody. Dále se podílí na různých akcích, které pořádá škola. Splňují odpovídající pedagogické vzdělání, uplatňují svou kreativitu, postoje a přístup, vlastní dovednosti a to v kontinuitě s programem ŠD a školy,  spolupracují s třídními učiteli, rodiči a veřejností, jsou iniciátorem a průvodcem při činnostech, které motivují, navozují, přímo nebo nepřímo řídí, hodnotí, mají vysokou míru empatie a dovedou projevovat vřelý vztah k žákům.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Další sebevzdělávání vychovatelek ŠD -  samostudium odborné literatury, sledování nových trendů v oblasti zájmového vzdělávání, účast na akreditovaných kurzech a dalším vzdělávání pedagogů.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dpis2"/>
        <w:bidi w:val="0"/>
        <w:jc w:val="left"/>
        <w:rPr/>
      </w:pPr>
      <w:bookmarkStart w:id="14" w:name="__RefHeading___Toc132_1710504944"/>
      <w:bookmarkEnd w:id="14"/>
      <w:r>
        <w:rPr/>
        <w:t>Ekonomické podmínky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ab/>
        <w:t>Poplatek za školní družinu činí 60,- Kč na jeden měsíc. Poplatek je vybírán hotově každý měsíc na základě příjmového dokladu. Většina hlavní činnosti ŠD je financována z příspěvku zřizovatele (provoz), ze státního rozpočtu (mzdy) a vlastních příjmů, tj. poplatků (vybavení ŠD). Výše příspěvku se stanovuje v souladu s vyhláškou č. 74/2005 Sb. o zájmovém vzdělávání v platném znění, § 14.  Úplata může být snížena či prominuta dle § 123, odst. 4, školského zákona. 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>  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adpis1"/>
        <w:bidi w:val="0"/>
        <w:jc w:val="left"/>
        <w:rPr/>
      </w:pPr>
      <w:bookmarkStart w:id="15" w:name="__RefHeading___Toc134_1710504944"/>
      <w:bookmarkEnd w:id="15"/>
      <w:r>
        <w:rPr/>
        <w:t>Podmínky bezpečnosti práce a ochrany zdraví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ab/>
        <w:t>Žáci jsou seznamováni s možnými riziky pohybu ve škole i mimo ni, s možnými následky různých činností, se správnými způsoby používání nástrojů a různých předmětů, s postupem při úrazu nebo chování v případě požáru. Žáci jsou poučováni o zásadách správného chování nejen ve škole, ale také na veřejnosti a na komunikacích. Také je jim připomínáno, jak se mají chovat v době prázdnin. Zajištěny jsou podmínky hygienické – vhodný stravovací režim, pitný režim, zdravé prostředí užívaných prostor. Dostupné jsou prostředky první pomoci. Úrazy jsou evidovány v knize úrazů. Bezpečnost ve všech prostorách využívaných ŠD je zajištěna - Školní řádem ZŠ, Vnitřním řádem ŠD a Vnitřními řády specializovaných učeben (např. Řád tělocvičného sálku, školní zahrady)</w:t>
      </w:r>
    </w:p>
    <w:p>
      <w:pPr>
        <w:pStyle w:val="Normal"/>
        <w:bidi w:val="0"/>
        <w:spacing w:lineRule="auto" w: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bidi w:val="0"/>
        <w:spacing w:lineRule="auto" w:line="360"/>
        <w:jc w:val="both"/>
        <w:rPr>
          <w:b/>
          <w:b/>
          <w:bCs/>
        </w:rPr>
      </w:pPr>
      <w:r>
        <w:rPr>
          <w:rFonts w:ascii="Times New Roman" w:hAnsi="Times New Roman"/>
          <w:b/>
          <w:bCs/>
          <w:sz w:val="24"/>
          <w:szCs w:val="24"/>
        </w:rPr>
        <w:t>Pravidla bezpečnosti: 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    • </w:t>
      </w:r>
      <w:r>
        <w:rPr>
          <w:rFonts w:ascii="Times New Roman" w:hAnsi="Times New Roman"/>
          <w:sz w:val="24"/>
          <w:szCs w:val="24"/>
        </w:rPr>
        <w:t>vhodná obuv při jednotlivých činnostech 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    • </w:t>
      </w:r>
      <w:r>
        <w:rPr>
          <w:rFonts w:ascii="Times New Roman" w:hAnsi="Times New Roman"/>
          <w:sz w:val="24"/>
          <w:szCs w:val="24"/>
        </w:rPr>
        <w:t>pracovní oděv, cvičební úbor 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    • </w:t>
      </w:r>
      <w:r>
        <w:rPr>
          <w:rFonts w:ascii="Times New Roman" w:hAnsi="Times New Roman"/>
          <w:sz w:val="24"/>
          <w:szCs w:val="24"/>
        </w:rPr>
        <w:t>vymezení vhodných prostor ke sportu a hrám 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    • </w:t>
      </w:r>
      <w:r>
        <w:rPr>
          <w:rFonts w:ascii="Times New Roman" w:hAnsi="Times New Roman"/>
          <w:sz w:val="24"/>
          <w:szCs w:val="24"/>
        </w:rPr>
        <w:t>dostupnost prostředků první pomoci </w:t>
      </w:r>
    </w:p>
    <w:p>
      <w:pPr>
        <w:pStyle w:val="Normal"/>
        <w:bidi w:val="0"/>
        <w:spacing w:lineRule="auto" w:line="360"/>
        <w:jc w:val="both"/>
        <w:rPr/>
      </w:pPr>
      <w:r>
        <w:rPr>
          <w:rFonts w:ascii="Times New Roman" w:hAnsi="Times New Roman"/>
          <w:sz w:val="24"/>
          <w:szCs w:val="24"/>
        </w:rPr>
        <w:t xml:space="preserve">    • </w:t>
      </w:r>
      <w:r>
        <w:rPr>
          <w:rFonts w:ascii="Times New Roman" w:hAnsi="Times New Roman"/>
          <w:sz w:val="24"/>
          <w:szCs w:val="24"/>
        </w:rPr>
        <w:t>dodržování pokynů vychovatelek 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dpis1"/>
      <w:numFmt w:val="upperRoman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Nadpis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paragraph" w:styleId="Nadpis1">
    <w:name w:val="Heading 1"/>
    <w:basedOn w:val="Nadpis"/>
    <w:next w:val="Tlotextu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Nadpis2">
    <w:name w:val="Heading 2"/>
    <w:basedOn w:val="Nadpis"/>
    <w:next w:val="Tlotextu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Odkaznarejstk">
    <w:name w:val="Odkaz na rejstřík"/>
    <w:qFormat/>
    <w:rPr/>
  </w:style>
  <w:style w:type="character" w:styleId="Symbolyproslovn">
    <w:name w:val="Symboly pro číslování"/>
    <w:qFormat/>
    <w:rPr/>
  </w:style>
  <w:style w:type="character" w:styleId="Odrky">
    <w:name w:val="Odrážky"/>
    <w:qFormat/>
    <w:rPr>
      <w:rFonts w:ascii="OpenSymbol" w:hAnsi="OpenSymbol" w:eastAsia="OpenSymbol" w:cs="OpenSymbol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Nzev">
    <w:name w:val="Title"/>
    <w:basedOn w:val="Nadpis"/>
    <w:next w:val="Tlotextu"/>
    <w:qFormat/>
    <w:pPr>
      <w:jc w:val="center"/>
    </w:pPr>
    <w:rPr>
      <w:b/>
      <w:bCs/>
      <w:sz w:val="56"/>
      <w:szCs w:val="56"/>
    </w:rPr>
  </w:style>
  <w:style w:type="paragraph" w:styleId="Nadpisrejstku">
    <w:name w:val="Index Heading"/>
    <w:basedOn w:val="Nadpis"/>
    <w:pPr>
      <w:suppressLineNumbers/>
      <w:ind w:left="0" w:hanging="0"/>
    </w:pPr>
    <w:rPr>
      <w:b/>
      <w:bCs/>
      <w:sz w:val="32"/>
      <w:szCs w:val="32"/>
    </w:rPr>
  </w:style>
  <w:style w:type="paragraph" w:styleId="TOAHeading">
    <w:name w:val="TOA Heading"/>
    <w:basedOn w:val="Nadpisrejstku"/>
    <w:qFormat/>
    <w:pPr>
      <w:suppressLineNumbers/>
      <w:ind w:left="0" w:hanging="0"/>
    </w:pPr>
    <w:rPr>
      <w:b/>
      <w:bCs/>
      <w:sz w:val="32"/>
      <w:szCs w:val="32"/>
    </w:rPr>
  </w:style>
  <w:style w:type="paragraph" w:styleId="Obsah1">
    <w:name w:val="TOC 1"/>
    <w:basedOn w:val="Rejstk"/>
    <w:pPr>
      <w:tabs>
        <w:tab w:val="clear" w:pos="709"/>
        <w:tab w:val="right" w:pos="9638" w:leader="dot"/>
      </w:tabs>
      <w:ind w:left="0" w:hanging="0"/>
    </w:pPr>
    <w:rPr/>
  </w:style>
  <w:style w:type="paragraph" w:styleId="Obsah2">
    <w:name w:val="TOC 2"/>
    <w:basedOn w:val="Rejstk"/>
    <w:pPr>
      <w:tabs>
        <w:tab w:val="clear" w:pos="709"/>
        <w:tab w:val="right" w:pos="9638" w:leader="dot"/>
      </w:tabs>
      <w:ind w:left="283" w:hanging="0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70</TotalTime>
  <Application>LibreOffice/7.0.2.2$Windows_X86_64 LibreOffice_project/8349ace3c3162073abd90d81fd06dcfb6b36b994</Application>
  <Pages>9</Pages>
  <Words>2031</Words>
  <Characters>12181</Characters>
  <CharactersWithSpaces>14181</CharactersWithSpaces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2021-12-31T15:25:17Z</dcterms:created>
  <dc:creator/>
  <dc:description/>
  <dc:language>cs-CZ</dc:language>
  <cp:lastModifiedBy/>
  <dcterms:modified xsi:type="dcterms:W3CDTF">2022-10-08T15:24:52Z</dcterms:modified>
  <cp:revision>14</cp:revision>
  <dc:subject/>
  <dc:title/>
</cp:coreProperties>
</file>